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65D19B">
      <w:pPr>
        <w:pStyle w:val="2"/>
        <w:jc w:val="center"/>
        <w:rPr>
          <w:rFonts w:hint="eastAsia"/>
          <w:b w:val="0"/>
          <w:color w:val="auto"/>
          <w:sz w:val="28"/>
          <w:szCs w:val="28"/>
          <w:highlight w:val="none"/>
        </w:rPr>
      </w:pPr>
      <w:bookmarkStart w:id="0" w:name="_Toc496175925"/>
      <w:bookmarkStart w:id="1" w:name="_Toc177996073"/>
      <w:bookmarkStart w:id="2" w:name="_Toc19000878"/>
      <w:bookmarkStart w:id="3" w:name="_Toc496178404"/>
      <w:r>
        <w:rPr>
          <w:rFonts w:hint="eastAsia"/>
          <w:b w:val="0"/>
          <w:color w:val="auto"/>
          <w:sz w:val="28"/>
          <w:szCs w:val="28"/>
          <w:highlight w:val="none"/>
          <w:lang w:eastAsia="zh-CN"/>
        </w:rPr>
        <w:t>青岛航空2026年5架飞机预付款+整机融资租赁项目</w:t>
      </w:r>
      <w:r>
        <w:rPr>
          <w:rFonts w:hint="eastAsia"/>
          <w:b w:val="0"/>
          <w:color w:val="auto"/>
          <w:sz w:val="28"/>
          <w:szCs w:val="28"/>
          <w:highlight w:val="none"/>
        </w:rPr>
        <w:t>招标公告</w:t>
      </w:r>
      <w:bookmarkEnd w:id="0"/>
      <w:bookmarkEnd w:id="1"/>
      <w:bookmarkEnd w:id="2"/>
      <w:bookmarkEnd w:id="3"/>
    </w:p>
    <w:p w14:paraId="11069167">
      <w:pPr>
        <w:pBdr>
          <w:top w:val="single" w:color="auto" w:sz="4" w:space="1"/>
          <w:left w:val="single" w:color="auto" w:sz="4" w:space="4"/>
          <w:bottom w:val="single" w:color="auto" w:sz="4" w:space="1"/>
          <w:right w:val="single" w:color="auto" w:sz="4" w:space="4"/>
        </w:pBdr>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项目概况</w:t>
      </w:r>
    </w:p>
    <w:p w14:paraId="46C2979C">
      <w:pPr>
        <w:pBdr>
          <w:top w:val="single" w:color="auto" w:sz="4" w:space="1"/>
          <w:left w:val="single" w:color="auto" w:sz="4" w:space="4"/>
          <w:bottom w:val="single" w:color="auto" w:sz="4" w:space="1"/>
          <w:right w:val="single" w:color="auto" w:sz="4" w:space="4"/>
        </w:pBdr>
        <w:wordWrap w:val="0"/>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u w:val="single"/>
          <w:lang w:eastAsia="zh-CN"/>
        </w:rPr>
        <w:t>青岛航空2026年5架飞机预付款+整机融资租赁</w:t>
      </w:r>
      <w:bookmarkStart w:id="29" w:name="_GoBack"/>
      <w:bookmarkEnd w:id="29"/>
      <w:r>
        <w:rPr>
          <w:rFonts w:hint="eastAsia" w:ascii="仿宋" w:hAnsi="仿宋" w:eastAsia="仿宋"/>
          <w:color w:val="auto"/>
          <w:sz w:val="28"/>
          <w:szCs w:val="28"/>
          <w:highlight w:val="none"/>
          <w:u w:val="single"/>
        </w:rPr>
        <w:t>项目</w:t>
      </w:r>
      <w:r>
        <w:rPr>
          <w:rFonts w:hint="eastAsia" w:ascii="仿宋" w:hAnsi="仿宋" w:eastAsia="仿宋"/>
          <w:color w:val="auto"/>
          <w:sz w:val="28"/>
          <w:szCs w:val="28"/>
          <w:highlight w:val="none"/>
        </w:rPr>
        <w:t>招标项目的潜在投标人应在</w:t>
      </w:r>
      <w:r>
        <w:rPr>
          <w:rFonts w:ascii="仿宋" w:hAnsi="仿宋" w:eastAsia="仿宋"/>
          <w:color w:val="auto"/>
          <w:sz w:val="28"/>
          <w:szCs w:val="28"/>
          <w:highlight w:val="none"/>
          <w:u w:val="single"/>
        </w:rPr>
        <w:t>青岛阳光采购平台（https://www.qdygcg.com/）免费</w:t>
      </w:r>
      <w:r>
        <w:rPr>
          <w:rFonts w:hint="eastAsia" w:ascii="仿宋" w:hAnsi="仿宋" w:eastAsia="仿宋"/>
          <w:color w:val="auto"/>
          <w:sz w:val="28"/>
          <w:szCs w:val="28"/>
          <w:highlight w:val="none"/>
        </w:rPr>
        <w:t>获取招标文件，并于</w:t>
      </w:r>
      <w:r>
        <w:rPr>
          <w:rFonts w:hint="eastAsia" w:ascii="仿宋" w:hAnsi="仿宋" w:eastAsia="仿宋"/>
          <w:color w:val="auto"/>
          <w:sz w:val="28"/>
          <w:szCs w:val="28"/>
          <w:highlight w:val="none"/>
          <w:u w:val="single"/>
        </w:rPr>
        <w:t>2024</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12</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16</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10</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00</w:t>
      </w:r>
      <w:r>
        <w:rPr>
          <w:rFonts w:hint="eastAsia" w:ascii="仿宋" w:hAnsi="仿宋" w:eastAsia="仿宋"/>
          <w:bCs/>
          <w:color w:val="auto"/>
          <w:sz w:val="28"/>
          <w:szCs w:val="28"/>
          <w:highlight w:val="none"/>
          <w:u w:val="single"/>
        </w:rPr>
        <w:t>分00秒（</w:t>
      </w:r>
      <w:r>
        <w:rPr>
          <w:rFonts w:hint="eastAsia" w:ascii="仿宋" w:hAnsi="仿宋" w:eastAsia="仿宋"/>
          <w:bCs/>
          <w:color w:val="auto"/>
          <w:sz w:val="28"/>
          <w:szCs w:val="28"/>
          <w:highlight w:val="none"/>
        </w:rPr>
        <w:t>北京时间）前递交投标</w:t>
      </w:r>
      <w:r>
        <w:rPr>
          <w:rFonts w:ascii="仿宋" w:hAnsi="仿宋" w:eastAsia="仿宋"/>
          <w:bCs/>
          <w:color w:val="auto"/>
          <w:sz w:val="28"/>
          <w:szCs w:val="28"/>
          <w:highlight w:val="none"/>
        </w:rPr>
        <w:t>文件</w:t>
      </w:r>
      <w:r>
        <w:rPr>
          <w:rFonts w:hint="eastAsia" w:ascii="仿宋" w:hAnsi="仿宋" w:eastAsia="仿宋"/>
          <w:color w:val="auto"/>
          <w:sz w:val="28"/>
          <w:szCs w:val="28"/>
          <w:highlight w:val="none"/>
        </w:rPr>
        <w:t>。</w:t>
      </w:r>
    </w:p>
    <w:p w14:paraId="5B84DC3D">
      <w:pPr>
        <w:spacing w:line="560" w:lineRule="exact"/>
        <w:rPr>
          <w:color w:val="auto"/>
          <w:sz w:val="28"/>
          <w:szCs w:val="28"/>
          <w:highlight w:val="none"/>
        </w:rPr>
      </w:pPr>
    </w:p>
    <w:p w14:paraId="270FAEB7">
      <w:pPr>
        <w:rPr>
          <w:rFonts w:ascii="黑体" w:hAnsi="黑体" w:eastAsia="黑体"/>
          <w:color w:val="auto"/>
          <w:sz w:val="28"/>
          <w:szCs w:val="28"/>
          <w:highlight w:val="none"/>
        </w:rPr>
      </w:pPr>
      <w:bookmarkStart w:id="4" w:name="_Toc35393621"/>
      <w:bookmarkStart w:id="5" w:name="_Toc28359002"/>
      <w:bookmarkStart w:id="6" w:name="_Toc35393790"/>
      <w:bookmarkStart w:id="7" w:name="_Toc28359079"/>
      <w:bookmarkStart w:id="8" w:name="_Hlk24379207"/>
      <w:r>
        <w:rPr>
          <w:rFonts w:hint="eastAsia" w:ascii="黑体" w:hAnsi="黑体" w:eastAsia="黑体"/>
          <w:color w:val="auto"/>
          <w:sz w:val="28"/>
          <w:szCs w:val="28"/>
          <w:highlight w:val="none"/>
        </w:rPr>
        <w:t>一、项目基本情况</w:t>
      </w:r>
      <w:bookmarkEnd w:id="4"/>
      <w:bookmarkEnd w:id="5"/>
      <w:bookmarkEnd w:id="6"/>
      <w:bookmarkEnd w:id="7"/>
    </w:p>
    <w:p w14:paraId="7DE75639">
      <w:pPr>
        <w:spacing w:line="560" w:lineRule="exact"/>
        <w:ind w:firstLine="560" w:firstLineChars="200"/>
        <w:rPr>
          <w:rFonts w:hint="eastAsia" w:ascii="仿宋" w:hAnsi="仿宋" w:eastAsia="仿宋" w:cs="Times New Roman"/>
          <w:color w:val="auto"/>
          <w:sz w:val="28"/>
          <w:szCs w:val="28"/>
          <w:highlight w:val="none"/>
          <w:lang w:eastAsia="zh-CN"/>
        </w:rPr>
      </w:pPr>
      <w:r>
        <w:rPr>
          <w:rFonts w:hint="eastAsia" w:ascii="仿宋" w:hAnsi="仿宋" w:eastAsia="仿宋"/>
          <w:color w:val="auto"/>
          <w:sz w:val="28"/>
          <w:szCs w:val="28"/>
          <w:highlight w:val="none"/>
        </w:rPr>
        <w:t>项目编号</w:t>
      </w:r>
      <w:r>
        <w:rPr>
          <w:rFonts w:hint="eastAsia" w:ascii="仿宋" w:hAnsi="仿宋" w:eastAsia="仿宋" w:cs="Times New Roman"/>
          <w:color w:val="auto"/>
          <w:sz w:val="28"/>
          <w:szCs w:val="28"/>
          <w:highlight w:val="none"/>
          <w:lang w:eastAsia="zh-CN"/>
        </w:rPr>
        <w:t>：JZTP20241203000001</w:t>
      </w:r>
    </w:p>
    <w:p w14:paraId="13D2B0D8">
      <w:pPr>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lang w:eastAsia="zh-CN"/>
        </w:rPr>
        <w:t>青岛航空2026年5架飞机预付款+整机融资租赁项目</w:t>
      </w:r>
    </w:p>
    <w:bookmarkEnd w:id="8"/>
    <w:p w14:paraId="4A617494">
      <w:pPr>
        <w:spacing w:line="560" w:lineRule="exact"/>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招标控制</w:t>
      </w:r>
      <w:r>
        <w:rPr>
          <w:rFonts w:hint="eastAsia" w:ascii="仿宋" w:hAnsi="仿宋" w:eastAsia="仿宋"/>
          <w:color w:val="auto"/>
          <w:sz w:val="28"/>
          <w:szCs w:val="28"/>
          <w:highlight w:val="none"/>
          <w:lang w:val="en-US" w:eastAsia="zh-CN"/>
        </w:rPr>
        <w:t>利率</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3.6%</w:t>
      </w:r>
    </w:p>
    <w:p w14:paraId="0931F752">
      <w:pPr>
        <w:spacing w:line="56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招标内容：</w:t>
      </w:r>
    </w:p>
    <w:p w14:paraId="5E311145">
      <w:pPr>
        <w:spacing w:line="56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eastAsia="zh-CN"/>
        </w:rPr>
        <w:t>青岛航空2026年5架飞机预付款+整机融资租赁项目</w:t>
      </w:r>
      <w:r>
        <w:rPr>
          <w:rFonts w:hint="eastAsia" w:ascii="仿宋" w:hAnsi="仿宋" w:eastAsia="仿宋"/>
          <w:color w:val="auto"/>
          <w:sz w:val="28"/>
          <w:szCs w:val="28"/>
          <w:highlight w:val="none"/>
        </w:rPr>
        <w:t>项目详见下表。</w:t>
      </w:r>
    </w:p>
    <w:tbl>
      <w:tblPr>
        <w:tblStyle w:val="4"/>
        <w:tblW w:w="85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17"/>
        <w:gridCol w:w="1524"/>
        <w:gridCol w:w="1210"/>
        <w:gridCol w:w="1631"/>
        <w:gridCol w:w="1425"/>
      </w:tblGrid>
      <w:tr w14:paraId="34A5A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8507" w:type="dxa"/>
            <w:gridSpan w:val="5"/>
            <w:tcBorders>
              <w:top w:val="single" w:color="000000" w:sz="4" w:space="0"/>
              <w:left w:val="single" w:color="000000" w:sz="4" w:space="0"/>
              <w:bottom w:val="single" w:color="000000" w:sz="4" w:space="0"/>
              <w:right w:val="single" w:color="000000" w:sz="4" w:space="0"/>
            </w:tcBorders>
            <w:noWrap/>
            <w:vAlign w:val="center"/>
          </w:tcPr>
          <w:p w14:paraId="5446FC7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2026年飞机预付款和整机融资租赁项目</w:t>
            </w:r>
          </w:p>
        </w:tc>
      </w:tr>
      <w:tr w14:paraId="468BF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jc w:val="center"/>
        </w:trPr>
        <w:tc>
          <w:tcPr>
            <w:tcW w:w="2717" w:type="dxa"/>
            <w:tcBorders>
              <w:top w:val="single" w:color="000000" w:sz="4" w:space="0"/>
              <w:left w:val="single" w:color="000000" w:sz="4" w:space="0"/>
              <w:bottom w:val="single" w:color="000000" w:sz="4" w:space="0"/>
              <w:right w:val="single" w:color="000000" w:sz="4" w:space="0"/>
            </w:tcBorders>
            <w:noWrap/>
            <w:vAlign w:val="center"/>
          </w:tcPr>
          <w:p w14:paraId="0CED4857">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仿宋_GB2312" w:hAnsi="仿宋_GB2312" w:eastAsia="仿宋_GB2312" w:cs="仿宋_GB2312"/>
                <w:b w:val="0"/>
                <w:bCs w:val="0"/>
                <w:sz w:val="24"/>
                <w:szCs w:val="24"/>
                <w:highlight w:val="none"/>
                <w:lang w:val="en-US" w:eastAsia="zh-CN"/>
              </w:rPr>
              <w:t>融资项目</w:t>
            </w:r>
          </w:p>
        </w:tc>
        <w:tc>
          <w:tcPr>
            <w:tcW w:w="1524" w:type="dxa"/>
            <w:tcBorders>
              <w:top w:val="single" w:color="000000" w:sz="4" w:space="0"/>
              <w:left w:val="single" w:color="000000" w:sz="4" w:space="0"/>
              <w:bottom w:val="single" w:color="000000" w:sz="4" w:space="0"/>
              <w:right w:val="single" w:color="000000" w:sz="4" w:space="0"/>
            </w:tcBorders>
            <w:noWrap/>
            <w:vAlign w:val="center"/>
          </w:tcPr>
          <w:p w14:paraId="477E6C60">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仿宋_GB2312" w:hAnsi="仿宋_GB2312" w:eastAsia="仿宋_GB2312" w:cs="仿宋_GB2312"/>
                <w:b w:val="0"/>
                <w:bCs w:val="0"/>
                <w:sz w:val="24"/>
                <w:szCs w:val="24"/>
                <w:highlight w:val="none"/>
                <w:lang w:val="en-US" w:eastAsia="zh-CN"/>
              </w:rPr>
              <w:t>融资金额</w:t>
            </w:r>
          </w:p>
        </w:tc>
        <w:tc>
          <w:tcPr>
            <w:tcW w:w="1210" w:type="dxa"/>
            <w:tcBorders>
              <w:top w:val="single" w:color="000000" w:sz="4" w:space="0"/>
              <w:left w:val="single" w:color="000000" w:sz="4" w:space="0"/>
              <w:bottom w:val="single" w:color="000000" w:sz="4" w:space="0"/>
              <w:right w:val="single" w:color="000000" w:sz="4" w:space="0"/>
            </w:tcBorders>
            <w:noWrap/>
            <w:vAlign w:val="center"/>
          </w:tcPr>
          <w:p w14:paraId="2D59FB6F">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仿宋_GB2312" w:hAnsi="仿宋_GB2312" w:eastAsia="仿宋_GB2312" w:cs="仿宋_GB2312"/>
                <w:b w:val="0"/>
                <w:bCs w:val="0"/>
                <w:sz w:val="24"/>
                <w:szCs w:val="24"/>
                <w:highlight w:val="none"/>
                <w:lang w:val="en-US" w:eastAsia="zh-CN"/>
              </w:rPr>
              <w:t>融资年限</w:t>
            </w:r>
          </w:p>
        </w:tc>
        <w:tc>
          <w:tcPr>
            <w:tcW w:w="1631" w:type="dxa"/>
            <w:tcBorders>
              <w:top w:val="single" w:color="000000" w:sz="4" w:space="0"/>
              <w:left w:val="single" w:color="000000" w:sz="4" w:space="0"/>
              <w:bottom w:val="single" w:color="000000" w:sz="4" w:space="0"/>
              <w:right w:val="single" w:color="auto" w:sz="4" w:space="0"/>
            </w:tcBorders>
            <w:noWrap/>
            <w:vAlign w:val="center"/>
          </w:tcPr>
          <w:p w14:paraId="752C181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融资比例</w:t>
            </w:r>
          </w:p>
        </w:tc>
        <w:tc>
          <w:tcPr>
            <w:tcW w:w="1425" w:type="dxa"/>
            <w:tcBorders>
              <w:top w:val="single" w:color="000000" w:sz="4" w:space="0"/>
              <w:left w:val="single" w:color="auto" w:sz="4" w:space="0"/>
              <w:bottom w:val="single" w:color="000000" w:sz="4" w:space="0"/>
              <w:right w:val="single" w:color="000000" w:sz="4" w:space="0"/>
            </w:tcBorders>
            <w:noWrap/>
            <w:vAlign w:val="center"/>
          </w:tcPr>
          <w:p w14:paraId="0AAFCEFF">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融资币种</w:t>
            </w:r>
          </w:p>
        </w:tc>
      </w:tr>
      <w:tr w14:paraId="20598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2717" w:type="dxa"/>
            <w:tcBorders>
              <w:top w:val="single" w:color="000000" w:sz="4" w:space="0"/>
              <w:left w:val="single" w:color="000000" w:sz="4" w:space="0"/>
              <w:bottom w:val="single" w:color="000000" w:sz="4" w:space="0"/>
              <w:right w:val="single" w:color="000000" w:sz="4" w:space="0"/>
            </w:tcBorders>
            <w:noWrap/>
            <w:vAlign w:val="center"/>
          </w:tcPr>
          <w:p w14:paraId="193D0A0F">
            <w:pPr>
              <w:keepNext w:val="0"/>
              <w:keepLines w:val="0"/>
              <w:widowControl/>
              <w:suppressLineNumbers w:val="0"/>
              <w:ind w:left="0" w:leftChars="0" w:firstLine="0" w:firstLineChars="0"/>
              <w:jc w:val="both"/>
              <w:textAlignment w:val="center"/>
              <w:rPr>
                <w:rFonts w:hint="default" w:ascii="宋体" w:hAnsi="宋体" w:eastAsia="宋体" w:cs="宋体"/>
                <w:b w:val="0"/>
                <w:bCs w:val="0"/>
                <w:i w:val="0"/>
                <w:iCs w:val="0"/>
                <w:color w:val="000000"/>
                <w:sz w:val="22"/>
                <w:szCs w:val="22"/>
                <w:highlight w:val="none"/>
                <w:u w:val="none"/>
                <w:lang w:val="en-US" w:eastAsia="zh-CN"/>
              </w:rPr>
            </w:pPr>
            <w:r>
              <w:rPr>
                <w:rFonts w:hint="eastAsia" w:ascii="宋体" w:hAnsi="宋体" w:eastAsia="宋体" w:cs="宋体"/>
                <w:b w:val="0"/>
                <w:bCs w:val="0"/>
                <w:i w:val="0"/>
                <w:iCs w:val="0"/>
                <w:color w:val="000000"/>
                <w:sz w:val="22"/>
                <w:szCs w:val="22"/>
                <w:highlight w:val="none"/>
                <w:u w:val="none"/>
                <w:lang w:val="en-US" w:eastAsia="zh-CN"/>
              </w:rPr>
              <w:t>5架A321-271N飞机融资租赁采购项目</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EE046E1">
            <w:pPr>
              <w:keepNext w:val="0"/>
              <w:keepLines w:val="0"/>
              <w:widowControl/>
              <w:suppressLineNumbers w:val="0"/>
              <w:ind w:left="0" w:leftChars="0" w:firstLine="0" w:firstLineChars="0"/>
              <w:jc w:val="both"/>
              <w:textAlignment w:val="center"/>
              <w:rPr>
                <w:rFonts w:hint="default" w:ascii="宋体" w:hAnsi="宋体" w:eastAsia="宋体" w:cs="宋体"/>
                <w:b w:val="0"/>
                <w:bCs w:val="0"/>
                <w:i w:val="0"/>
                <w:iCs w:val="0"/>
                <w:color w:val="000000"/>
                <w:sz w:val="22"/>
                <w:szCs w:val="22"/>
                <w:highlight w:val="none"/>
                <w:u w:val="none"/>
                <w:lang w:val="en-US" w:eastAsia="zh-CN"/>
              </w:rPr>
            </w:pPr>
            <w:r>
              <w:rPr>
                <w:rFonts w:hint="eastAsia" w:ascii="宋体" w:hAnsi="宋体" w:eastAsia="宋体" w:cs="宋体"/>
                <w:b w:val="0"/>
                <w:bCs w:val="0"/>
                <w:i w:val="0"/>
                <w:iCs w:val="0"/>
                <w:color w:val="000000"/>
                <w:sz w:val="22"/>
                <w:szCs w:val="22"/>
                <w:highlight w:val="none"/>
                <w:u w:val="none"/>
                <w:lang w:val="en-US" w:eastAsia="zh-CN"/>
              </w:rPr>
              <w:t>3.75亿美元</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2F1CE50C">
            <w:pPr>
              <w:keepNext w:val="0"/>
              <w:keepLines w:val="0"/>
              <w:widowControl/>
              <w:suppressLineNumbers w:val="0"/>
              <w:ind w:left="0" w:leftChars="0" w:firstLine="0" w:firstLineChars="0"/>
              <w:jc w:val="both"/>
              <w:textAlignment w:val="center"/>
              <w:rPr>
                <w:rFonts w:hint="default" w:ascii="宋体" w:hAnsi="宋体" w:eastAsia="宋体" w:cs="宋体"/>
                <w:b w:val="0"/>
                <w:bCs w:val="0"/>
                <w:i w:val="0"/>
                <w:iCs w:val="0"/>
                <w:color w:val="000000"/>
                <w:sz w:val="22"/>
                <w:szCs w:val="22"/>
                <w:highlight w:val="none"/>
                <w:u w:val="none"/>
                <w:lang w:val="en-US" w:eastAsia="zh-CN"/>
              </w:rPr>
            </w:pPr>
            <w:r>
              <w:rPr>
                <w:rFonts w:hint="eastAsia" w:ascii="宋体" w:hAnsi="宋体" w:eastAsia="宋体" w:cs="宋体"/>
                <w:b w:val="0"/>
                <w:bCs w:val="0"/>
                <w:i w:val="0"/>
                <w:iCs w:val="0"/>
                <w:color w:val="000000"/>
                <w:sz w:val="22"/>
                <w:szCs w:val="22"/>
                <w:highlight w:val="none"/>
                <w:u w:val="none"/>
                <w:lang w:val="en-US" w:eastAsia="zh-CN"/>
              </w:rPr>
              <w:t>PDP阶段+12年</w:t>
            </w:r>
          </w:p>
        </w:tc>
        <w:tc>
          <w:tcPr>
            <w:tcW w:w="1631" w:type="dxa"/>
            <w:tcBorders>
              <w:top w:val="single" w:color="000000" w:sz="4" w:space="0"/>
              <w:left w:val="single" w:color="000000" w:sz="4" w:space="0"/>
              <w:bottom w:val="single" w:color="000000" w:sz="4" w:space="0"/>
              <w:right w:val="single" w:color="auto" w:sz="4" w:space="0"/>
            </w:tcBorders>
            <w:noWrap w:val="0"/>
            <w:vAlign w:val="center"/>
          </w:tcPr>
          <w:p w14:paraId="42D33784">
            <w:pPr>
              <w:keepNext w:val="0"/>
              <w:keepLines w:val="0"/>
              <w:widowControl/>
              <w:suppressLineNumbers w:val="0"/>
              <w:ind w:left="0" w:leftChars="0" w:firstLine="0" w:firstLineChars="0"/>
              <w:jc w:val="both"/>
              <w:textAlignment w:val="center"/>
              <w:rPr>
                <w:rFonts w:hint="default" w:ascii="宋体" w:hAnsi="宋体" w:eastAsia="宋体" w:cs="宋体"/>
                <w:b w:val="0"/>
                <w:bCs w:val="0"/>
                <w:i w:val="0"/>
                <w:iCs w:val="0"/>
                <w:color w:val="000000"/>
                <w:sz w:val="22"/>
                <w:szCs w:val="22"/>
                <w:highlight w:val="none"/>
                <w:u w:val="none"/>
                <w:lang w:val="en-US" w:eastAsia="zh-CN"/>
              </w:rPr>
            </w:pPr>
            <w:r>
              <w:rPr>
                <w:rFonts w:hint="eastAsia" w:ascii="宋体" w:hAnsi="宋体" w:eastAsia="宋体" w:cs="宋体"/>
                <w:b w:val="0"/>
                <w:bCs w:val="0"/>
                <w:i w:val="0"/>
                <w:iCs w:val="0"/>
                <w:color w:val="000000"/>
                <w:sz w:val="22"/>
                <w:szCs w:val="22"/>
                <w:highlight w:val="none"/>
                <w:u w:val="none"/>
                <w:lang w:val="en-US" w:eastAsia="zh-CN"/>
              </w:rPr>
              <w:t>100%</w:t>
            </w:r>
          </w:p>
        </w:tc>
        <w:tc>
          <w:tcPr>
            <w:tcW w:w="1425" w:type="dxa"/>
            <w:tcBorders>
              <w:top w:val="single" w:color="000000" w:sz="4" w:space="0"/>
              <w:left w:val="single" w:color="auto" w:sz="4" w:space="0"/>
              <w:bottom w:val="single" w:color="000000" w:sz="4" w:space="0"/>
              <w:right w:val="single" w:color="000000" w:sz="4" w:space="0"/>
            </w:tcBorders>
            <w:noWrap w:val="0"/>
            <w:vAlign w:val="center"/>
          </w:tcPr>
          <w:p w14:paraId="15D56B5C">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color w:val="000000"/>
                <w:sz w:val="22"/>
                <w:szCs w:val="22"/>
                <w:highlight w:val="none"/>
                <w:u w:val="none"/>
                <w:lang w:val="en-US" w:eastAsia="zh-CN"/>
              </w:rPr>
            </w:pPr>
            <w:r>
              <w:rPr>
                <w:rFonts w:hint="eastAsia" w:ascii="宋体" w:hAnsi="宋体" w:eastAsia="宋体" w:cs="宋体"/>
                <w:b w:val="0"/>
                <w:bCs w:val="0"/>
                <w:i w:val="0"/>
                <w:iCs w:val="0"/>
                <w:color w:val="000000"/>
                <w:sz w:val="22"/>
                <w:szCs w:val="22"/>
                <w:highlight w:val="none"/>
                <w:u w:val="none"/>
                <w:lang w:val="en-US" w:eastAsia="zh-CN"/>
              </w:rPr>
              <w:t>人民币</w:t>
            </w:r>
          </w:p>
        </w:tc>
      </w:tr>
      <w:tr w14:paraId="1922B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3" w:hRule="atLeast"/>
          <w:jc w:val="center"/>
        </w:trPr>
        <w:tc>
          <w:tcPr>
            <w:tcW w:w="8507" w:type="dxa"/>
            <w:gridSpan w:val="5"/>
            <w:tcBorders>
              <w:top w:val="single" w:color="000000" w:sz="4" w:space="0"/>
              <w:left w:val="single" w:color="000000" w:sz="4" w:space="0"/>
              <w:bottom w:val="single" w:color="000000" w:sz="4" w:space="0"/>
              <w:right w:val="single" w:color="000000" w:sz="4" w:space="0"/>
            </w:tcBorders>
            <w:noWrap/>
            <w:vAlign w:val="center"/>
          </w:tcPr>
          <w:p w14:paraId="1FD4DEB5">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注：</w:t>
            </w:r>
          </w:p>
          <w:p w14:paraId="70DB6E7D">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融资金额分为：</w:t>
            </w:r>
          </w:p>
          <w:p w14:paraId="6C2205AC">
            <w:pPr>
              <w:keepNext w:val="0"/>
              <w:keepLines w:val="0"/>
              <w:widowControl/>
              <w:suppressLineNumbers w:val="0"/>
              <w:ind w:left="0" w:leftChars="0" w:firstLine="0" w:firstLineChars="0"/>
              <w:jc w:val="both"/>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1）预付款阶段总金额：1.51亿美元；（实际融资额待定）</w:t>
            </w:r>
          </w:p>
          <w:p w14:paraId="0AAFFD98">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2）整机交付阶段尾款金额：2.24亿美元；</w:t>
            </w:r>
          </w:p>
          <w:p w14:paraId="23267FF1">
            <w:pPr>
              <w:keepNext w:val="0"/>
              <w:keepLines w:val="0"/>
              <w:widowControl/>
              <w:suppressLineNumbers w:val="0"/>
              <w:ind w:left="0" w:leftChars="0" w:firstLine="0" w:firstLineChars="0"/>
              <w:jc w:val="both"/>
              <w:textAlignment w:val="center"/>
              <w:rPr>
                <w:rFonts w:hint="default" w:ascii="仿宋" w:hAnsi="仿宋" w:eastAsia="仿宋" w:cs="仿宋_GB2312"/>
                <w:b w:val="0"/>
                <w:bCs w:val="0"/>
                <w:color w:val="auto"/>
                <w:sz w:val="28"/>
                <w:szCs w:val="28"/>
                <w:highlight w:val="none"/>
                <w:lang w:val="en-US" w:eastAsia="zh-CN"/>
              </w:rPr>
            </w:pPr>
            <w:r>
              <w:drawing>
                <wp:anchor distT="0" distB="0" distL="114300" distR="114300" simplePos="0" relativeHeight="251659264" behindDoc="0" locked="0" layoutInCell="1" allowOverlap="1">
                  <wp:simplePos x="0" y="0"/>
                  <wp:positionH relativeFrom="column">
                    <wp:posOffset>-1905</wp:posOffset>
                  </wp:positionH>
                  <wp:positionV relativeFrom="paragraph">
                    <wp:posOffset>650875</wp:posOffset>
                  </wp:positionV>
                  <wp:extent cx="5272405" cy="1381760"/>
                  <wp:effectExtent l="0" t="0" r="4445" b="889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2405" cy="1381760"/>
                          </a:xfrm>
                          <a:prstGeom prst="rect">
                            <a:avLst/>
                          </a:prstGeom>
                          <a:noFill/>
                          <a:ln>
                            <a:noFill/>
                          </a:ln>
                        </pic:spPr>
                      </pic:pic>
                    </a:graphicData>
                  </a:graphic>
                </wp:anchor>
              </w:drawing>
            </w:r>
            <w:r>
              <w:rPr>
                <w:rFonts w:hint="eastAsia" w:ascii="宋体" w:hAnsi="宋体" w:eastAsia="宋体" w:cs="宋体"/>
                <w:b w:val="0"/>
                <w:bCs w:val="0"/>
                <w:i w:val="0"/>
                <w:iCs w:val="0"/>
                <w:color w:val="000000"/>
                <w:sz w:val="21"/>
                <w:szCs w:val="21"/>
                <w:highlight w:val="none"/>
                <w:u w:val="none"/>
                <w:lang w:val="en-US" w:eastAsia="zh-CN"/>
              </w:rPr>
              <w:t>3）合计：3.75亿美元，金额为预估金额，实际融资额以空客飞机交付时飞机价格为准。</w:t>
            </w:r>
          </w:p>
        </w:tc>
      </w:tr>
    </w:tbl>
    <w:p w14:paraId="4B8B4DD5">
      <w:pPr>
        <w:spacing w:line="560" w:lineRule="exact"/>
        <w:rPr>
          <w:rFonts w:hint="eastAsia" w:ascii="仿宋" w:hAnsi="仿宋" w:eastAsia="仿宋"/>
          <w:color w:val="auto"/>
          <w:sz w:val="28"/>
          <w:szCs w:val="28"/>
          <w:highlight w:val="none"/>
        </w:rPr>
      </w:pPr>
    </w:p>
    <w:p w14:paraId="1D444B64">
      <w:pPr>
        <w:rPr>
          <w:rFonts w:hint="eastAsia" w:ascii="黑体" w:hAnsi="黑体" w:eastAsia="黑体"/>
          <w:color w:val="auto"/>
          <w:sz w:val="28"/>
          <w:szCs w:val="28"/>
          <w:highlight w:val="none"/>
          <w:lang w:eastAsia="zh-CN"/>
        </w:rPr>
      </w:pPr>
      <w:bookmarkStart w:id="9" w:name="_Toc28359003"/>
      <w:bookmarkStart w:id="10" w:name="_Toc35393622"/>
      <w:bookmarkStart w:id="11" w:name="_Toc35393791"/>
      <w:bookmarkStart w:id="12" w:name="_Toc28359080"/>
      <w:r>
        <w:rPr>
          <w:rFonts w:hint="eastAsia" w:ascii="黑体" w:hAnsi="黑体" w:eastAsia="黑体"/>
          <w:color w:val="auto"/>
          <w:sz w:val="28"/>
          <w:szCs w:val="28"/>
          <w:highlight w:val="none"/>
        </w:rPr>
        <w:t>二、投标人的资格要求：</w:t>
      </w:r>
      <w:bookmarkEnd w:id="9"/>
      <w:bookmarkEnd w:id="10"/>
      <w:bookmarkEnd w:id="11"/>
      <w:bookmarkEnd w:id="12"/>
    </w:p>
    <w:p w14:paraId="732E27B7">
      <w:pPr>
        <w:spacing w:line="560" w:lineRule="exact"/>
        <w:ind w:firstLine="560" w:firstLineChars="200"/>
        <w:rPr>
          <w:rFonts w:hint="eastAsia" w:ascii="仿宋" w:hAnsi="仿宋" w:eastAsia="仿宋" w:cs="宋体"/>
          <w:color w:val="auto"/>
          <w:kern w:val="0"/>
          <w:sz w:val="28"/>
          <w:szCs w:val="28"/>
          <w:highlight w:val="none"/>
          <w:lang w:val="en-US" w:eastAsia="zh-CN"/>
        </w:rPr>
      </w:pPr>
      <w:bookmarkStart w:id="13" w:name="_Toc35393792"/>
      <w:bookmarkStart w:id="14" w:name="_Toc28359081"/>
      <w:bookmarkStart w:id="15" w:name="_Toc28359004"/>
      <w:bookmarkStart w:id="16" w:name="_Toc35393623"/>
      <w:r>
        <w:rPr>
          <w:rFonts w:hint="eastAsia" w:ascii="仿宋" w:hAnsi="仿宋" w:eastAsia="仿宋" w:cs="宋体"/>
          <w:color w:val="auto"/>
          <w:kern w:val="0"/>
          <w:sz w:val="28"/>
          <w:szCs w:val="28"/>
          <w:highlight w:val="none"/>
          <w:lang w:val="en-US" w:eastAsia="zh-CN"/>
        </w:rPr>
        <w:t>1.供应商必须是具有独立承担民事责任能力的在中华人民共和国境内依法注册的法人或其他组织，具备合法有效的营业执照，取得相关执业资格，连续正常营业5年以上（含）（提供营业执照复印件，但若在前期采购中已提供此项资料且目前无变化的，可不再重复提供）；</w:t>
      </w:r>
    </w:p>
    <w:p w14:paraId="539DD2CC">
      <w:pPr>
        <w:spacing w:line="560" w:lineRule="exact"/>
        <w:ind w:firstLine="560" w:firstLineChars="200"/>
        <w:rPr>
          <w:rFonts w:hint="eastAsia" w:ascii="仿宋" w:hAnsi="仿宋" w:eastAsia="仿宋" w:cs="宋体"/>
          <w:color w:val="auto"/>
          <w:kern w:val="0"/>
          <w:sz w:val="28"/>
          <w:szCs w:val="28"/>
          <w:highlight w:val="none"/>
          <w:lang w:val="en-US" w:eastAsia="zh-CN"/>
        </w:rPr>
      </w:pPr>
      <w:r>
        <w:rPr>
          <w:rFonts w:hint="eastAsia" w:ascii="仿宋" w:hAnsi="仿宋" w:eastAsia="仿宋" w:cs="宋体"/>
          <w:color w:val="auto"/>
          <w:kern w:val="0"/>
          <w:sz w:val="28"/>
          <w:szCs w:val="28"/>
          <w:highlight w:val="none"/>
          <w:lang w:val="en-US" w:eastAsia="zh-CN"/>
        </w:rPr>
        <w:t>2.投标方应为银行或经批准成立的融资租赁公司。</w:t>
      </w:r>
    </w:p>
    <w:p w14:paraId="59584340">
      <w:pPr>
        <w:spacing w:line="560" w:lineRule="exact"/>
        <w:ind w:firstLine="560" w:firstLineChars="200"/>
        <w:rPr>
          <w:rFonts w:hint="default" w:ascii="仿宋" w:hAnsi="仿宋" w:eastAsia="仿宋" w:cs="宋体"/>
          <w:color w:val="auto"/>
          <w:kern w:val="0"/>
          <w:sz w:val="28"/>
          <w:szCs w:val="28"/>
          <w:highlight w:val="none"/>
          <w:lang w:val="en-US" w:eastAsia="zh-CN"/>
        </w:rPr>
      </w:pPr>
      <w:r>
        <w:rPr>
          <w:rFonts w:hint="eastAsia" w:ascii="仿宋" w:hAnsi="仿宋" w:eastAsia="仿宋" w:cs="宋体"/>
          <w:color w:val="auto"/>
          <w:kern w:val="0"/>
          <w:sz w:val="28"/>
          <w:szCs w:val="28"/>
          <w:highlight w:val="none"/>
          <w:lang w:val="en-US" w:eastAsia="zh-CN"/>
        </w:rPr>
        <w:t>3.供应商净资产达到1000万美元及以上；当供应商是为此次融资项目成立的项目公司时，项目公司母公司净资产应达到1000万美元及以上；</w:t>
      </w:r>
    </w:p>
    <w:p w14:paraId="2D5707A5">
      <w:pPr>
        <w:spacing w:line="560" w:lineRule="exact"/>
        <w:ind w:firstLine="560" w:firstLineChars="200"/>
        <w:rPr>
          <w:rFonts w:hint="default" w:ascii="仿宋" w:hAnsi="仿宋" w:eastAsia="仿宋" w:cs="宋体"/>
          <w:color w:val="auto"/>
          <w:kern w:val="0"/>
          <w:sz w:val="28"/>
          <w:szCs w:val="28"/>
          <w:highlight w:val="none"/>
          <w:lang w:val="en-US" w:eastAsia="zh-CN"/>
        </w:rPr>
      </w:pPr>
      <w:r>
        <w:rPr>
          <w:rFonts w:hint="eastAsia" w:ascii="仿宋" w:hAnsi="仿宋" w:eastAsia="仿宋" w:cs="宋体"/>
          <w:color w:val="auto"/>
          <w:kern w:val="0"/>
          <w:sz w:val="28"/>
          <w:szCs w:val="28"/>
          <w:highlight w:val="none"/>
          <w:lang w:val="en-US" w:eastAsia="zh-CN"/>
        </w:rPr>
        <w:t>4.供应商具有良好的商业信誉、健全的财务会计制度，能够开具增值税专用发票；</w:t>
      </w:r>
    </w:p>
    <w:p w14:paraId="0C7B0136">
      <w:pPr>
        <w:spacing w:line="560" w:lineRule="exact"/>
        <w:ind w:firstLine="560" w:firstLineChars="200"/>
        <w:rPr>
          <w:rFonts w:hint="eastAsia" w:ascii="仿宋" w:hAnsi="仿宋" w:eastAsia="仿宋" w:cs="宋体"/>
          <w:color w:val="auto"/>
          <w:kern w:val="0"/>
          <w:sz w:val="28"/>
          <w:szCs w:val="28"/>
          <w:highlight w:val="none"/>
          <w:lang w:val="en-US" w:eastAsia="zh-CN"/>
        </w:rPr>
      </w:pPr>
      <w:r>
        <w:rPr>
          <w:rFonts w:hint="eastAsia" w:ascii="仿宋" w:hAnsi="仿宋" w:eastAsia="仿宋" w:cs="宋体"/>
          <w:color w:val="auto"/>
          <w:kern w:val="0"/>
          <w:sz w:val="28"/>
          <w:szCs w:val="28"/>
          <w:highlight w:val="none"/>
          <w:lang w:val="en-US" w:eastAsia="zh-CN"/>
        </w:rPr>
        <w:t>5.具有良好的社会信誉，最近三年未受到监管处罚，未发生重大负面事件；参加本次采购活动前三年内（2021年至报价截至日），在经营活动中没有处罚记录；不存在影响合同履行的重大诉讼情况（提供国家企业信用信息公示系统相关内容截图）；</w:t>
      </w:r>
    </w:p>
    <w:p w14:paraId="1B6FEFE6">
      <w:pPr>
        <w:spacing w:line="560" w:lineRule="exact"/>
        <w:ind w:firstLine="560" w:firstLineChars="200"/>
        <w:rPr>
          <w:rFonts w:hint="eastAsia" w:ascii="仿宋" w:hAnsi="仿宋" w:eastAsia="仿宋" w:cs="宋体"/>
          <w:color w:val="auto"/>
          <w:kern w:val="0"/>
          <w:sz w:val="28"/>
          <w:szCs w:val="28"/>
          <w:highlight w:val="none"/>
          <w:lang w:val="en-US" w:eastAsia="zh-CN"/>
        </w:rPr>
      </w:pPr>
      <w:r>
        <w:rPr>
          <w:rFonts w:hint="eastAsia" w:ascii="仿宋" w:hAnsi="仿宋" w:eastAsia="仿宋" w:cs="宋体"/>
          <w:color w:val="auto"/>
          <w:kern w:val="0"/>
          <w:sz w:val="28"/>
          <w:szCs w:val="28"/>
          <w:highlight w:val="none"/>
          <w:lang w:val="en-US" w:eastAsia="zh-CN"/>
        </w:rPr>
        <w:t>6.与公司不存在利益冲突；</w:t>
      </w:r>
    </w:p>
    <w:p w14:paraId="3F152C2B">
      <w:pPr>
        <w:spacing w:line="560" w:lineRule="exact"/>
        <w:ind w:firstLine="560" w:firstLineChars="200"/>
        <w:rPr>
          <w:rFonts w:hint="eastAsia" w:ascii="仿宋" w:hAnsi="仿宋" w:eastAsia="仿宋" w:cs="宋体"/>
          <w:color w:val="auto"/>
          <w:kern w:val="0"/>
          <w:sz w:val="28"/>
          <w:szCs w:val="28"/>
          <w:highlight w:val="none"/>
          <w:lang w:val="en-US" w:eastAsia="zh-CN"/>
        </w:rPr>
      </w:pPr>
      <w:r>
        <w:rPr>
          <w:rFonts w:hint="eastAsia" w:ascii="仿宋" w:hAnsi="仿宋" w:eastAsia="仿宋" w:cs="宋体"/>
          <w:color w:val="auto"/>
          <w:kern w:val="0"/>
          <w:sz w:val="28"/>
          <w:szCs w:val="28"/>
          <w:highlight w:val="none"/>
          <w:lang w:val="en-US" w:eastAsia="zh-CN"/>
        </w:rPr>
        <w:t>7.单位负责人为同一人或者存在控股、管理关系的不同单位，不得参加同一项目报价，法定代表人为同一个人的两个及两个以上的母公司、全资子公司及其控股公司，不得同时参加同一项目报价；</w:t>
      </w:r>
    </w:p>
    <w:p w14:paraId="78A61835">
      <w:pPr>
        <w:spacing w:line="560" w:lineRule="exact"/>
        <w:ind w:firstLine="560" w:firstLineChars="200"/>
        <w:rPr>
          <w:rFonts w:hint="default" w:ascii="仿宋" w:hAnsi="仿宋" w:eastAsia="仿宋" w:cs="宋体"/>
          <w:color w:val="auto"/>
          <w:kern w:val="0"/>
          <w:sz w:val="28"/>
          <w:szCs w:val="28"/>
          <w:highlight w:val="none"/>
          <w:lang w:val="en-US" w:eastAsia="zh-CN"/>
        </w:rPr>
      </w:pPr>
      <w:r>
        <w:rPr>
          <w:rFonts w:hint="eastAsia" w:ascii="仿宋" w:hAnsi="仿宋" w:eastAsia="仿宋" w:cs="宋体"/>
          <w:color w:val="auto"/>
          <w:kern w:val="0"/>
          <w:sz w:val="28"/>
          <w:szCs w:val="28"/>
          <w:highlight w:val="none"/>
          <w:lang w:val="en-US" w:eastAsia="zh-CN"/>
        </w:rPr>
        <w:t>8.必须有空客飞机相关融资租赁项目操作经验，并提供相关经验证明材料。</w:t>
      </w:r>
    </w:p>
    <w:p w14:paraId="110E847D">
      <w:pPr>
        <w:rPr>
          <w:rFonts w:ascii="黑体" w:hAnsi="黑体" w:eastAsia="黑体"/>
          <w:color w:val="auto"/>
          <w:sz w:val="28"/>
          <w:szCs w:val="28"/>
          <w:highlight w:val="none"/>
        </w:rPr>
      </w:pPr>
      <w:r>
        <w:rPr>
          <w:rFonts w:hint="eastAsia" w:ascii="黑体" w:hAnsi="黑体" w:eastAsia="黑体"/>
          <w:color w:val="auto"/>
          <w:sz w:val="28"/>
          <w:szCs w:val="28"/>
          <w:highlight w:val="none"/>
        </w:rPr>
        <w:t>三、获取招标文件</w:t>
      </w:r>
      <w:bookmarkEnd w:id="13"/>
      <w:bookmarkEnd w:id="14"/>
      <w:bookmarkEnd w:id="15"/>
      <w:bookmarkEnd w:id="16"/>
    </w:p>
    <w:p w14:paraId="0FFAA9E1">
      <w:pPr>
        <w:spacing w:line="560" w:lineRule="exact"/>
        <w:ind w:firstLine="560" w:firstLineChars="200"/>
        <w:rPr>
          <w:rFonts w:hint="eastAsia" w:ascii="仿宋" w:hAnsi="仿宋" w:eastAsia="仿宋" w:cs="宋体"/>
          <w:color w:val="auto"/>
          <w:kern w:val="0"/>
          <w:sz w:val="28"/>
          <w:szCs w:val="28"/>
          <w:highlight w:val="none"/>
        </w:rPr>
      </w:pPr>
      <w:bookmarkStart w:id="17" w:name="_Toc28359005"/>
      <w:bookmarkStart w:id="18" w:name="_Toc28359082"/>
      <w:bookmarkStart w:id="19" w:name="_Toc35393624"/>
      <w:bookmarkStart w:id="20" w:name="_Toc35393793"/>
      <w:r>
        <w:rPr>
          <w:rFonts w:hint="eastAsia" w:ascii="仿宋" w:hAnsi="仿宋" w:eastAsia="仿宋" w:cs="宋体"/>
          <w:color w:val="auto"/>
          <w:kern w:val="0"/>
          <w:sz w:val="28"/>
          <w:szCs w:val="28"/>
          <w:highlight w:val="none"/>
        </w:rPr>
        <w:t>2024年</w:t>
      </w:r>
      <w:r>
        <w:rPr>
          <w:rFonts w:hint="eastAsia" w:ascii="仿宋" w:hAnsi="仿宋" w:eastAsia="仿宋" w:cs="宋体"/>
          <w:color w:val="auto"/>
          <w:kern w:val="0"/>
          <w:sz w:val="28"/>
          <w:szCs w:val="28"/>
          <w:highlight w:val="none"/>
          <w:lang w:val="en-US" w:eastAsia="zh-CN"/>
        </w:rPr>
        <w:t>12</w:t>
      </w:r>
      <w:r>
        <w:rPr>
          <w:rFonts w:hint="eastAsia" w:ascii="仿宋" w:hAnsi="仿宋" w:eastAsia="仿宋" w:cs="宋体"/>
          <w:color w:val="auto"/>
          <w:kern w:val="0"/>
          <w:sz w:val="28"/>
          <w:szCs w:val="28"/>
          <w:highlight w:val="none"/>
        </w:rPr>
        <w:t>月</w:t>
      </w:r>
      <w:r>
        <w:rPr>
          <w:rFonts w:hint="eastAsia" w:ascii="仿宋" w:hAnsi="仿宋" w:eastAsia="仿宋" w:cs="宋体"/>
          <w:color w:val="auto"/>
          <w:kern w:val="0"/>
          <w:sz w:val="28"/>
          <w:szCs w:val="28"/>
          <w:highlight w:val="none"/>
          <w:lang w:val="en-US" w:eastAsia="zh-CN"/>
        </w:rPr>
        <w:t>4</w:t>
      </w:r>
      <w:r>
        <w:rPr>
          <w:rFonts w:hint="eastAsia" w:ascii="仿宋" w:hAnsi="仿宋" w:eastAsia="仿宋" w:cs="宋体"/>
          <w:color w:val="auto"/>
          <w:kern w:val="0"/>
          <w:sz w:val="28"/>
          <w:szCs w:val="28"/>
          <w:highlight w:val="none"/>
        </w:rPr>
        <w:t>日9时00分00秒至2024年</w:t>
      </w:r>
      <w:r>
        <w:rPr>
          <w:rFonts w:hint="eastAsia" w:ascii="仿宋" w:hAnsi="仿宋" w:eastAsia="仿宋" w:cs="宋体"/>
          <w:color w:val="auto"/>
          <w:kern w:val="0"/>
          <w:sz w:val="28"/>
          <w:szCs w:val="28"/>
          <w:highlight w:val="none"/>
          <w:lang w:val="en-US" w:eastAsia="zh-CN"/>
        </w:rPr>
        <w:t>12</w:t>
      </w:r>
      <w:r>
        <w:rPr>
          <w:rFonts w:hint="eastAsia" w:ascii="仿宋" w:hAnsi="仿宋" w:eastAsia="仿宋" w:cs="宋体"/>
          <w:color w:val="auto"/>
          <w:kern w:val="0"/>
          <w:sz w:val="28"/>
          <w:szCs w:val="28"/>
          <w:highlight w:val="none"/>
        </w:rPr>
        <w:t>月</w:t>
      </w:r>
      <w:r>
        <w:rPr>
          <w:rFonts w:hint="eastAsia" w:ascii="仿宋" w:hAnsi="仿宋" w:eastAsia="仿宋" w:cs="宋体"/>
          <w:color w:val="auto"/>
          <w:kern w:val="0"/>
          <w:sz w:val="28"/>
          <w:szCs w:val="28"/>
          <w:highlight w:val="none"/>
          <w:lang w:val="en-US" w:eastAsia="zh-CN"/>
        </w:rPr>
        <w:t>15</w:t>
      </w:r>
      <w:r>
        <w:rPr>
          <w:rFonts w:hint="eastAsia" w:ascii="仿宋" w:hAnsi="仿宋" w:eastAsia="仿宋" w:cs="宋体"/>
          <w:color w:val="auto"/>
          <w:kern w:val="0"/>
          <w:sz w:val="28"/>
          <w:szCs w:val="28"/>
          <w:highlight w:val="none"/>
        </w:rPr>
        <w:t>日17时00分00秒（北京时间，下同），登录</w:t>
      </w:r>
      <w:r>
        <w:rPr>
          <w:rFonts w:ascii="仿宋" w:hAnsi="仿宋" w:eastAsia="仿宋" w:cs="宋体"/>
          <w:color w:val="auto"/>
          <w:kern w:val="0"/>
          <w:sz w:val="28"/>
          <w:szCs w:val="28"/>
          <w:highlight w:val="none"/>
        </w:rPr>
        <w:t>青岛阳光采购平台（https://www.qdygcg.com/）</w:t>
      </w:r>
      <w:r>
        <w:rPr>
          <w:rFonts w:hint="eastAsia" w:ascii="仿宋" w:hAnsi="仿宋" w:eastAsia="仿宋" w:cs="宋体"/>
          <w:color w:val="auto"/>
          <w:kern w:val="0"/>
          <w:sz w:val="28"/>
          <w:szCs w:val="28"/>
          <w:highlight w:val="none"/>
        </w:rPr>
        <w:t>（以下简称“交易平台”），</w:t>
      </w:r>
      <w:r>
        <w:rPr>
          <w:rFonts w:ascii="仿宋" w:hAnsi="仿宋" w:eastAsia="仿宋" w:cs="宋体"/>
          <w:color w:val="auto"/>
          <w:kern w:val="0"/>
          <w:sz w:val="28"/>
          <w:szCs w:val="28"/>
          <w:highlight w:val="none"/>
        </w:rPr>
        <w:t>免费下载招标文件。</w:t>
      </w:r>
    </w:p>
    <w:p w14:paraId="40487998">
      <w:pPr>
        <w:spacing w:line="560" w:lineRule="exact"/>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投标人下载招标文件前，应先在“交易平台”按该平台公布的操作手册进行用户注册和CA数字证书办理，已完成注册和CA办理的供应商不必重复操作。</w:t>
      </w:r>
    </w:p>
    <w:p w14:paraId="7A71816D">
      <w:pPr>
        <w:rPr>
          <w:rFonts w:ascii="黑体" w:hAnsi="黑体" w:eastAsia="黑体"/>
          <w:color w:val="auto"/>
          <w:sz w:val="28"/>
          <w:szCs w:val="28"/>
          <w:highlight w:val="none"/>
        </w:rPr>
      </w:pPr>
      <w:r>
        <w:rPr>
          <w:rFonts w:hint="eastAsia" w:ascii="黑体" w:hAnsi="黑体" w:eastAsia="黑体"/>
          <w:color w:val="auto"/>
          <w:sz w:val="28"/>
          <w:szCs w:val="28"/>
          <w:highlight w:val="none"/>
        </w:rPr>
        <w:t>四、</w:t>
      </w:r>
      <w:bookmarkEnd w:id="17"/>
      <w:bookmarkEnd w:id="18"/>
      <w:r>
        <w:rPr>
          <w:rFonts w:hint="eastAsia" w:ascii="黑体" w:hAnsi="黑体" w:eastAsia="黑体"/>
          <w:color w:val="auto"/>
          <w:sz w:val="28"/>
          <w:szCs w:val="28"/>
          <w:highlight w:val="none"/>
        </w:rPr>
        <w:t>投标文件递交截止时间、开标时间和地点</w:t>
      </w:r>
      <w:bookmarkEnd w:id="19"/>
      <w:bookmarkEnd w:id="20"/>
    </w:p>
    <w:p w14:paraId="7868EA51">
      <w:pPr>
        <w:spacing w:line="56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投标文件递交截止时间：2024年</w:t>
      </w:r>
      <w:r>
        <w:rPr>
          <w:rFonts w:hint="eastAsia" w:ascii="仿宋" w:hAnsi="仿宋" w:eastAsia="仿宋"/>
          <w:color w:val="auto"/>
          <w:sz w:val="28"/>
          <w:szCs w:val="28"/>
          <w:highlight w:val="none"/>
          <w:lang w:val="en-US" w:eastAsia="zh-CN"/>
        </w:rPr>
        <w:t>12</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16</w:t>
      </w:r>
      <w:r>
        <w:rPr>
          <w:rFonts w:hint="eastAsia" w:ascii="仿宋" w:hAnsi="仿宋" w:eastAsia="仿宋"/>
          <w:color w:val="auto"/>
          <w:sz w:val="28"/>
          <w:szCs w:val="28"/>
          <w:highlight w:val="none"/>
        </w:rPr>
        <w:t>日</w:t>
      </w:r>
      <w:r>
        <w:rPr>
          <w:rFonts w:hint="eastAsia" w:ascii="仿宋" w:hAnsi="仿宋" w:eastAsia="仿宋"/>
          <w:color w:val="auto"/>
          <w:sz w:val="28"/>
          <w:szCs w:val="28"/>
          <w:highlight w:val="none"/>
          <w:lang w:val="en-US" w:eastAsia="zh-CN"/>
        </w:rPr>
        <w:t>9</w:t>
      </w:r>
      <w:r>
        <w:rPr>
          <w:rFonts w:hint="eastAsia" w:ascii="仿宋" w:hAnsi="仿宋" w:eastAsia="仿宋"/>
          <w:color w:val="auto"/>
          <w:sz w:val="28"/>
          <w:szCs w:val="28"/>
          <w:highlight w:val="none"/>
        </w:rPr>
        <w:t>时</w:t>
      </w:r>
      <w:r>
        <w:rPr>
          <w:rFonts w:hint="eastAsia" w:ascii="仿宋" w:hAnsi="仿宋" w:eastAsia="仿宋"/>
          <w:color w:val="auto"/>
          <w:sz w:val="28"/>
          <w:szCs w:val="28"/>
          <w:highlight w:val="none"/>
          <w:lang w:val="en-US" w:eastAsia="zh-CN"/>
        </w:rPr>
        <w:t>0</w:t>
      </w:r>
      <w:r>
        <w:rPr>
          <w:rFonts w:hint="eastAsia" w:ascii="仿宋" w:hAnsi="仿宋" w:eastAsia="仿宋"/>
          <w:color w:val="auto"/>
          <w:sz w:val="28"/>
          <w:szCs w:val="28"/>
          <w:highlight w:val="none"/>
        </w:rPr>
        <w:t>0分00秒</w:t>
      </w:r>
    </w:p>
    <w:p w14:paraId="3ABF3FC9">
      <w:pPr>
        <w:spacing w:line="56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投标人应在投标文件递交截止时间前先将编制完成的投标文件进行加密，再登录“交易平台”，将加密的投标文件上传，上传成功后，系统自动反馈上传结果和时间，递交时间即为系统反馈结果时间。逾期未完成上传的，系统将拒绝接收该投标文件并自动对其关闭；未按规定加密的投标文件系统将自动拒绝并提示。</w:t>
      </w:r>
    </w:p>
    <w:p w14:paraId="1D3DE8AC">
      <w:pPr>
        <w:spacing w:line="56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其他说明：平台服务费通过扫描微信/支付宝二维码支付缴纳。</w:t>
      </w:r>
    </w:p>
    <w:p w14:paraId="4FBEEF9D">
      <w:pPr>
        <w:spacing w:line="56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开标会议形式：远程</w:t>
      </w:r>
    </w:p>
    <w:p w14:paraId="70FFFEED">
      <w:pPr>
        <w:spacing w:line="56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开标时间：2024年</w:t>
      </w:r>
      <w:r>
        <w:rPr>
          <w:rFonts w:hint="eastAsia" w:ascii="仿宋" w:hAnsi="仿宋" w:eastAsia="仿宋"/>
          <w:color w:val="auto"/>
          <w:sz w:val="28"/>
          <w:szCs w:val="28"/>
          <w:highlight w:val="none"/>
          <w:lang w:val="en-US" w:eastAsia="zh-CN"/>
        </w:rPr>
        <w:t>12</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16</w:t>
      </w:r>
      <w:r>
        <w:rPr>
          <w:rFonts w:hint="eastAsia" w:ascii="仿宋" w:hAnsi="仿宋" w:eastAsia="仿宋"/>
          <w:color w:val="auto"/>
          <w:sz w:val="28"/>
          <w:szCs w:val="28"/>
          <w:highlight w:val="none"/>
        </w:rPr>
        <w:t>日</w:t>
      </w:r>
      <w:r>
        <w:rPr>
          <w:rFonts w:hint="eastAsia" w:ascii="仿宋" w:hAnsi="仿宋" w:eastAsia="仿宋"/>
          <w:color w:val="auto"/>
          <w:sz w:val="28"/>
          <w:szCs w:val="28"/>
          <w:highlight w:val="none"/>
          <w:lang w:val="en-US" w:eastAsia="zh-CN"/>
        </w:rPr>
        <w:t>10</w:t>
      </w:r>
      <w:r>
        <w:rPr>
          <w:rFonts w:hint="eastAsia" w:ascii="仿宋" w:hAnsi="仿宋" w:eastAsia="仿宋"/>
          <w:color w:val="auto"/>
          <w:sz w:val="28"/>
          <w:szCs w:val="28"/>
          <w:highlight w:val="none"/>
        </w:rPr>
        <w:t>时</w:t>
      </w:r>
      <w:r>
        <w:rPr>
          <w:rFonts w:hint="eastAsia" w:ascii="仿宋" w:hAnsi="仿宋" w:eastAsia="仿宋"/>
          <w:color w:val="auto"/>
          <w:sz w:val="28"/>
          <w:szCs w:val="28"/>
          <w:highlight w:val="none"/>
          <w:lang w:val="en-US" w:eastAsia="zh-CN"/>
        </w:rPr>
        <w:t>00</w:t>
      </w:r>
      <w:r>
        <w:rPr>
          <w:rFonts w:hint="eastAsia" w:ascii="仿宋" w:hAnsi="仿宋" w:eastAsia="仿宋"/>
          <w:color w:val="auto"/>
          <w:sz w:val="28"/>
          <w:szCs w:val="28"/>
          <w:highlight w:val="none"/>
        </w:rPr>
        <w:t>分00秒</w:t>
      </w:r>
    </w:p>
    <w:p w14:paraId="7C7DA46E">
      <w:pPr>
        <w:spacing w:line="56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开标地点：青岛市崂山区深圳路156号国金中心9号楼16层</w:t>
      </w:r>
    </w:p>
    <w:p w14:paraId="57EEF297">
      <w:pPr>
        <w:spacing w:line="560" w:lineRule="exact"/>
        <w:ind w:firstLine="560" w:firstLineChars="200"/>
        <w:rPr>
          <w:rFonts w:ascii="仿宋" w:hAnsi="仿宋" w:eastAsia="仿宋" w:cs="宋体"/>
          <w:color w:val="auto"/>
          <w:kern w:val="0"/>
          <w:sz w:val="28"/>
          <w:szCs w:val="28"/>
          <w:highlight w:val="none"/>
        </w:rPr>
      </w:pPr>
      <w:r>
        <w:rPr>
          <w:rFonts w:hint="eastAsia" w:ascii="仿宋" w:hAnsi="仿宋" w:eastAsia="仿宋"/>
          <w:color w:val="auto"/>
          <w:sz w:val="28"/>
          <w:szCs w:val="28"/>
          <w:highlight w:val="none"/>
        </w:rPr>
        <w:t>如采用远程开标形式投标人需登录“交易平台-开标系统”，具体操作可参考平台公布的操作手册。</w:t>
      </w:r>
    </w:p>
    <w:p w14:paraId="4A3B89BF">
      <w:pPr>
        <w:rPr>
          <w:rFonts w:ascii="黑体" w:hAnsi="黑体" w:eastAsia="黑体"/>
          <w:color w:val="auto"/>
          <w:sz w:val="28"/>
          <w:szCs w:val="28"/>
          <w:highlight w:val="none"/>
        </w:rPr>
      </w:pPr>
      <w:bookmarkStart w:id="21" w:name="_Toc35393626"/>
      <w:bookmarkStart w:id="22" w:name="_Toc35393795"/>
      <w:r>
        <w:rPr>
          <w:rFonts w:hint="eastAsia" w:ascii="黑体" w:hAnsi="黑体" w:eastAsia="黑体"/>
          <w:color w:val="auto"/>
          <w:sz w:val="28"/>
          <w:szCs w:val="28"/>
          <w:highlight w:val="none"/>
        </w:rPr>
        <w:t>五、其他补充事宜</w:t>
      </w:r>
      <w:bookmarkEnd w:id="21"/>
      <w:bookmarkEnd w:id="22"/>
    </w:p>
    <w:p w14:paraId="5212CD10">
      <w:pPr>
        <w:pStyle w:val="6"/>
        <w:wordWrap w:val="0"/>
        <w:spacing w:before="0" w:beforeAutospacing="0" w:after="0" w:afterAutospacing="0"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w:t>
      </w:r>
      <w:r>
        <w:rPr>
          <w:rFonts w:ascii="仿宋" w:hAnsi="仿宋" w:eastAsia="仿宋"/>
          <w:color w:val="auto"/>
          <w:sz w:val="28"/>
          <w:szCs w:val="28"/>
          <w:highlight w:val="none"/>
        </w:rPr>
        <w:t>“交易平台”的注册、CA数字证书申请及绑定、</w:t>
      </w:r>
      <w:r>
        <w:rPr>
          <w:rFonts w:hint="eastAsia" w:ascii="仿宋" w:hAnsi="仿宋" w:eastAsia="仿宋"/>
          <w:color w:val="auto"/>
          <w:sz w:val="28"/>
          <w:szCs w:val="28"/>
          <w:highlight w:val="none"/>
        </w:rPr>
        <w:t>招标</w:t>
      </w:r>
      <w:r>
        <w:rPr>
          <w:rFonts w:ascii="仿宋" w:hAnsi="仿宋" w:eastAsia="仿宋"/>
          <w:color w:val="auto"/>
          <w:sz w:val="28"/>
          <w:szCs w:val="28"/>
          <w:highlight w:val="none"/>
        </w:rPr>
        <w:t>文件下载、</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文件制作、</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文件加密与上传等各环节的操作手册详见“服务平台”或“交易平台”公布的相关操作手册。</w:t>
      </w:r>
    </w:p>
    <w:p w14:paraId="79A2348A">
      <w:pPr>
        <w:pStyle w:val="6"/>
        <w:wordWrap w:val="0"/>
        <w:spacing w:before="0" w:beforeAutospacing="0" w:after="0" w:afterAutospacing="0"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.招标</w:t>
      </w:r>
      <w:r>
        <w:rPr>
          <w:rFonts w:ascii="仿宋" w:hAnsi="仿宋" w:eastAsia="仿宋"/>
          <w:color w:val="auto"/>
          <w:sz w:val="28"/>
          <w:szCs w:val="28"/>
          <w:highlight w:val="none"/>
        </w:rPr>
        <w:t>以</w:t>
      </w:r>
      <w:r>
        <w:rPr>
          <w:rFonts w:hint="eastAsia" w:ascii="仿宋" w:hAnsi="仿宋" w:eastAsia="仿宋"/>
          <w:color w:val="auto"/>
          <w:sz w:val="28"/>
          <w:szCs w:val="28"/>
          <w:highlight w:val="none"/>
        </w:rPr>
        <w:t>投标人</w:t>
      </w:r>
      <w:r>
        <w:rPr>
          <w:rFonts w:ascii="仿宋" w:hAnsi="仿宋" w:eastAsia="仿宋"/>
          <w:color w:val="auto"/>
          <w:sz w:val="28"/>
          <w:szCs w:val="28"/>
          <w:highlight w:val="none"/>
        </w:rPr>
        <w:t>上传至交易平台的电子加密</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文件为准，未按照</w:t>
      </w:r>
      <w:r>
        <w:rPr>
          <w:rFonts w:hint="eastAsia" w:ascii="仿宋" w:hAnsi="仿宋" w:eastAsia="仿宋"/>
          <w:color w:val="auto"/>
          <w:sz w:val="28"/>
          <w:szCs w:val="28"/>
          <w:highlight w:val="none"/>
        </w:rPr>
        <w:t>招标</w:t>
      </w:r>
      <w:r>
        <w:rPr>
          <w:rFonts w:ascii="仿宋" w:hAnsi="仿宋" w:eastAsia="仿宋"/>
          <w:color w:val="auto"/>
          <w:sz w:val="28"/>
          <w:szCs w:val="28"/>
          <w:highlight w:val="none"/>
        </w:rPr>
        <w:t>文件要求递交电子</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文件的，</w:t>
      </w:r>
      <w:r>
        <w:rPr>
          <w:rFonts w:hint="eastAsia" w:ascii="仿宋" w:hAnsi="仿宋" w:eastAsia="仿宋"/>
          <w:color w:val="auto"/>
          <w:sz w:val="28"/>
          <w:szCs w:val="28"/>
          <w:highlight w:val="none"/>
        </w:rPr>
        <w:t>招标</w:t>
      </w:r>
      <w:r>
        <w:rPr>
          <w:rFonts w:ascii="仿宋" w:hAnsi="仿宋" w:eastAsia="仿宋"/>
          <w:color w:val="auto"/>
          <w:sz w:val="28"/>
          <w:szCs w:val="28"/>
          <w:highlight w:val="none"/>
        </w:rPr>
        <w:t>人均不予受理。</w:t>
      </w:r>
    </w:p>
    <w:p w14:paraId="1B7FF020">
      <w:pPr>
        <w:pStyle w:val="6"/>
        <w:wordWrap w:val="0"/>
        <w:spacing w:before="0" w:beforeAutospacing="0" w:after="0" w:afterAutospacing="0"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.招标</w:t>
      </w:r>
      <w:r>
        <w:rPr>
          <w:rFonts w:ascii="仿宋" w:hAnsi="仿宋" w:eastAsia="仿宋"/>
          <w:color w:val="auto"/>
          <w:sz w:val="28"/>
          <w:szCs w:val="28"/>
          <w:highlight w:val="none"/>
        </w:rPr>
        <w:t>会议时</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文件解密时间，限定在</w:t>
      </w:r>
      <w:r>
        <w:rPr>
          <w:rFonts w:hint="eastAsia" w:ascii="仿宋" w:hAnsi="仿宋" w:eastAsia="仿宋"/>
          <w:color w:val="auto"/>
          <w:sz w:val="28"/>
          <w:szCs w:val="28"/>
          <w:highlight w:val="none"/>
        </w:rPr>
        <w:t>招标</w:t>
      </w:r>
      <w:r>
        <w:rPr>
          <w:rFonts w:ascii="仿宋" w:hAnsi="仿宋" w:eastAsia="仿宋"/>
          <w:color w:val="auto"/>
          <w:sz w:val="28"/>
          <w:szCs w:val="28"/>
          <w:highlight w:val="none"/>
        </w:rPr>
        <w:t>人发出解密要求时间内完成，如所有</w:t>
      </w:r>
      <w:r>
        <w:rPr>
          <w:rFonts w:hint="eastAsia" w:ascii="仿宋" w:hAnsi="仿宋" w:eastAsia="仿宋"/>
          <w:color w:val="auto"/>
          <w:sz w:val="28"/>
          <w:szCs w:val="28"/>
          <w:highlight w:val="none"/>
        </w:rPr>
        <w:t>投标人</w:t>
      </w:r>
      <w:r>
        <w:rPr>
          <w:rFonts w:ascii="仿宋" w:hAnsi="仿宋" w:eastAsia="仿宋"/>
          <w:color w:val="auto"/>
          <w:sz w:val="28"/>
          <w:szCs w:val="28"/>
          <w:highlight w:val="none"/>
        </w:rPr>
        <w:t>都已完成解密，</w:t>
      </w:r>
      <w:r>
        <w:rPr>
          <w:rFonts w:hint="eastAsia" w:ascii="仿宋" w:hAnsi="仿宋" w:eastAsia="仿宋"/>
          <w:color w:val="auto"/>
          <w:sz w:val="28"/>
          <w:szCs w:val="28"/>
          <w:highlight w:val="none"/>
        </w:rPr>
        <w:t>招标</w:t>
      </w:r>
      <w:r>
        <w:rPr>
          <w:rFonts w:ascii="仿宋" w:hAnsi="仿宋" w:eastAsia="仿宋"/>
          <w:color w:val="auto"/>
          <w:sz w:val="28"/>
          <w:szCs w:val="28"/>
          <w:highlight w:val="none"/>
        </w:rPr>
        <w:t>人可提前结束解密环节进入下一环节。</w:t>
      </w:r>
    </w:p>
    <w:p w14:paraId="26B87F18">
      <w:pPr>
        <w:pStyle w:val="6"/>
        <w:wordWrap w:val="0"/>
        <w:spacing w:before="0" w:beforeAutospacing="0" w:after="0" w:afterAutospacing="0"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4</w:t>
      </w:r>
      <w:r>
        <w:rPr>
          <w:rFonts w:hint="eastAsia" w:ascii="仿宋" w:hAnsi="仿宋" w:eastAsia="仿宋"/>
          <w:color w:val="auto"/>
          <w:sz w:val="28"/>
          <w:szCs w:val="28"/>
          <w:highlight w:val="none"/>
        </w:rPr>
        <w:t>.</w:t>
      </w:r>
      <w:r>
        <w:rPr>
          <w:rFonts w:ascii="仿宋" w:hAnsi="仿宋" w:eastAsia="仿宋"/>
          <w:color w:val="auto"/>
          <w:sz w:val="28"/>
          <w:szCs w:val="28"/>
          <w:highlight w:val="none"/>
        </w:rPr>
        <w:t>因</w:t>
      </w:r>
      <w:r>
        <w:rPr>
          <w:rFonts w:hint="eastAsia" w:ascii="仿宋" w:hAnsi="仿宋" w:eastAsia="仿宋"/>
          <w:color w:val="auto"/>
          <w:sz w:val="28"/>
          <w:szCs w:val="28"/>
          <w:highlight w:val="none"/>
        </w:rPr>
        <w:t>投标人</w:t>
      </w:r>
      <w:r>
        <w:rPr>
          <w:rFonts w:ascii="仿宋" w:hAnsi="仿宋" w:eastAsia="仿宋"/>
          <w:color w:val="auto"/>
          <w:sz w:val="28"/>
          <w:szCs w:val="28"/>
          <w:highlight w:val="none"/>
        </w:rPr>
        <w:t>未按操作手册要求配置软硬件、忘记CA登陆密码、CA数字证书发生故障或用错、未在要求时限内完成解密等自身原因，导致</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文件在规定时间内未能解密、解密失败或解密超时，视为</w:t>
      </w:r>
      <w:r>
        <w:rPr>
          <w:rFonts w:hint="eastAsia" w:ascii="仿宋" w:hAnsi="仿宋" w:eastAsia="仿宋"/>
          <w:color w:val="auto"/>
          <w:sz w:val="28"/>
          <w:szCs w:val="28"/>
          <w:highlight w:val="none"/>
        </w:rPr>
        <w:t>投标人</w:t>
      </w:r>
      <w:r>
        <w:rPr>
          <w:rFonts w:ascii="仿宋" w:hAnsi="仿宋" w:eastAsia="仿宋"/>
          <w:color w:val="auto"/>
          <w:sz w:val="28"/>
          <w:szCs w:val="28"/>
          <w:highlight w:val="none"/>
        </w:rPr>
        <w:t>放弃投标，由</w:t>
      </w:r>
      <w:r>
        <w:rPr>
          <w:rFonts w:hint="eastAsia" w:ascii="仿宋" w:hAnsi="仿宋" w:eastAsia="仿宋"/>
          <w:color w:val="auto"/>
          <w:sz w:val="28"/>
          <w:szCs w:val="28"/>
          <w:highlight w:val="none"/>
        </w:rPr>
        <w:t>投标人</w:t>
      </w:r>
      <w:r>
        <w:rPr>
          <w:rFonts w:ascii="仿宋" w:hAnsi="仿宋" w:eastAsia="仿宋"/>
          <w:color w:val="auto"/>
          <w:sz w:val="28"/>
          <w:szCs w:val="28"/>
          <w:highlight w:val="none"/>
        </w:rPr>
        <w:t>自身承担一切后果。</w:t>
      </w:r>
    </w:p>
    <w:p w14:paraId="249858C8">
      <w:pPr>
        <w:pStyle w:val="6"/>
        <w:wordWrap w:val="0"/>
        <w:spacing w:before="0" w:beforeAutospacing="0" w:after="0" w:afterAutospacing="0"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因</w:t>
      </w:r>
      <w:r>
        <w:rPr>
          <w:rFonts w:hint="eastAsia" w:ascii="仿宋" w:hAnsi="仿宋" w:eastAsia="仿宋"/>
          <w:color w:val="auto"/>
          <w:sz w:val="28"/>
          <w:szCs w:val="28"/>
          <w:highlight w:val="none"/>
        </w:rPr>
        <w:t>招标</w:t>
      </w:r>
      <w:r>
        <w:rPr>
          <w:rFonts w:ascii="仿宋" w:hAnsi="仿宋" w:eastAsia="仿宋"/>
          <w:color w:val="auto"/>
          <w:sz w:val="28"/>
          <w:szCs w:val="28"/>
          <w:highlight w:val="none"/>
        </w:rPr>
        <w:t>人原因或系统发生故障等，导致无法按时完成</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文件解密或</w:t>
      </w:r>
      <w:r>
        <w:rPr>
          <w:rFonts w:hint="eastAsia" w:ascii="仿宋" w:hAnsi="仿宋" w:eastAsia="仿宋"/>
          <w:color w:val="auto"/>
          <w:sz w:val="28"/>
          <w:szCs w:val="28"/>
          <w:highlight w:val="none"/>
        </w:rPr>
        <w:t>招标</w:t>
      </w:r>
      <w:r>
        <w:rPr>
          <w:rFonts w:ascii="仿宋" w:hAnsi="仿宋" w:eastAsia="仿宋"/>
          <w:color w:val="auto"/>
          <w:sz w:val="28"/>
          <w:szCs w:val="28"/>
          <w:highlight w:val="none"/>
        </w:rPr>
        <w:t>工作无法进行的，可根据实际情况相应延迟解密时间或调整</w:t>
      </w:r>
      <w:r>
        <w:rPr>
          <w:rFonts w:hint="eastAsia" w:ascii="仿宋" w:hAnsi="仿宋" w:eastAsia="仿宋"/>
          <w:color w:val="auto"/>
          <w:sz w:val="28"/>
          <w:szCs w:val="28"/>
          <w:highlight w:val="none"/>
        </w:rPr>
        <w:t>招标</w:t>
      </w:r>
      <w:r>
        <w:rPr>
          <w:rFonts w:ascii="仿宋" w:hAnsi="仿宋" w:eastAsia="仿宋"/>
          <w:color w:val="auto"/>
          <w:sz w:val="28"/>
          <w:szCs w:val="28"/>
          <w:highlight w:val="none"/>
        </w:rPr>
        <w:t>时间。</w:t>
      </w:r>
    </w:p>
    <w:p w14:paraId="047325D4">
      <w:pPr>
        <w:pStyle w:val="6"/>
        <w:wordWrap w:val="0"/>
        <w:spacing w:before="0" w:beforeAutospacing="0" w:after="0" w:afterAutospacing="0"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5</w:t>
      </w:r>
      <w:r>
        <w:rPr>
          <w:rFonts w:hint="eastAsia" w:ascii="仿宋" w:hAnsi="仿宋" w:eastAsia="仿宋"/>
          <w:color w:val="auto"/>
          <w:sz w:val="28"/>
          <w:szCs w:val="28"/>
          <w:highlight w:val="none"/>
        </w:rPr>
        <w:t>.</w:t>
      </w:r>
      <w:r>
        <w:rPr>
          <w:rFonts w:ascii="仿宋" w:hAnsi="仿宋" w:eastAsia="仿宋"/>
          <w:color w:val="auto"/>
          <w:sz w:val="28"/>
          <w:szCs w:val="28"/>
          <w:highlight w:val="none"/>
        </w:rPr>
        <w:t>若</w:t>
      </w:r>
      <w:r>
        <w:rPr>
          <w:rFonts w:hint="eastAsia" w:ascii="仿宋" w:hAnsi="仿宋" w:eastAsia="仿宋"/>
          <w:color w:val="auto"/>
          <w:sz w:val="28"/>
          <w:szCs w:val="28"/>
          <w:highlight w:val="none"/>
        </w:rPr>
        <w:t>投标人</w:t>
      </w:r>
      <w:r>
        <w:rPr>
          <w:rFonts w:ascii="仿宋" w:hAnsi="仿宋" w:eastAsia="仿宋"/>
          <w:color w:val="auto"/>
          <w:sz w:val="28"/>
          <w:szCs w:val="28"/>
          <w:highlight w:val="none"/>
        </w:rPr>
        <w:t>已申请多个CA数字证书，请注意使用差别，确保制作的</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文件和</w:t>
      </w:r>
      <w:r>
        <w:rPr>
          <w:rFonts w:hint="eastAsia" w:ascii="仿宋" w:hAnsi="仿宋" w:eastAsia="仿宋"/>
          <w:color w:val="auto"/>
          <w:sz w:val="28"/>
          <w:szCs w:val="28"/>
          <w:highlight w:val="none"/>
        </w:rPr>
        <w:t>招标</w:t>
      </w:r>
      <w:r>
        <w:rPr>
          <w:rFonts w:ascii="仿宋" w:hAnsi="仿宋" w:eastAsia="仿宋"/>
          <w:color w:val="auto"/>
          <w:sz w:val="28"/>
          <w:szCs w:val="28"/>
          <w:highlight w:val="none"/>
        </w:rPr>
        <w:t>会议解密时使用的CA数字证书是一致的，否则造成解密失败的，由</w:t>
      </w:r>
      <w:r>
        <w:rPr>
          <w:rFonts w:hint="eastAsia" w:ascii="仿宋" w:hAnsi="仿宋" w:eastAsia="仿宋"/>
          <w:color w:val="auto"/>
          <w:sz w:val="28"/>
          <w:szCs w:val="28"/>
          <w:highlight w:val="none"/>
        </w:rPr>
        <w:t>投标人</w:t>
      </w:r>
      <w:r>
        <w:rPr>
          <w:rFonts w:ascii="仿宋" w:hAnsi="仿宋" w:eastAsia="仿宋"/>
          <w:color w:val="auto"/>
          <w:sz w:val="28"/>
          <w:szCs w:val="28"/>
          <w:highlight w:val="none"/>
        </w:rPr>
        <w:t>负责。</w:t>
      </w:r>
    </w:p>
    <w:p w14:paraId="319F5486">
      <w:pPr>
        <w:pStyle w:val="6"/>
        <w:wordWrap w:val="0"/>
        <w:spacing w:before="0" w:beforeAutospacing="0" w:after="0" w:afterAutospacing="0"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6</w:t>
      </w:r>
      <w:r>
        <w:rPr>
          <w:rFonts w:hint="eastAsia" w:ascii="仿宋" w:hAnsi="仿宋" w:eastAsia="仿宋"/>
          <w:color w:val="auto"/>
          <w:sz w:val="28"/>
          <w:szCs w:val="28"/>
          <w:highlight w:val="none"/>
        </w:rPr>
        <w:t>.投标人</w:t>
      </w:r>
      <w:r>
        <w:rPr>
          <w:rFonts w:ascii="仿宋" w:hAnsi="仿宋" w:eastAsia="仿宋"/>
          <w:color w:val="auto"/>
          <w:sz w:val="28"/>
          <w:szCs w:val="28"/>
          <w:highlight w:val="none"/>
        </w:rPr>
        <w:t>应充分考虑到网络及系统平台可能存在的非正常情况，在</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文件递交截止时间之前完成上传。</w:t>
      </w:r>
    </w:p>
    <w:p w14:paraId="68718005">
      <w:pPr>
        <w:pStyle w:val="6"/>
        <w:spacing w:before="0" w:beforeAutospacing="0" w:after="0" w:afterAutospacing="0"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7</w:t>
      </w:r>
      <w:r>
        <w:rPr>
          <w:rFonts w:hint="eastAsia" w:ascii="仿宋" w:hAnsi="仿宋" w:eastAsia="仿宋"/>
          <w:color w:val="auto"/>
          <w:sz w:val="28"/>
          <w:szCs w:val="28"/>
          <w:highlight w:val="none"/>
        </w:rPr>
        <w:t>.</w:t>
      </w:r>
      <w:r>
        <w:rPr>
          <w:rFonts w:ascii="仿宋" w:hAnsi="仿宋" w:eastAsia="仿宋"/>
          <w:color w:val="auto"/>
          <w:sz w:val="28"/>
          <w:szCs w:val="28"/>
          <w:highlight w:val="none"/>
        </w:rPr>
        <w:t>如遇操作相关问题可咨询技术服务。技术咨询电话：0532-88913595。</w:t>
      </w:r>
    </w:p>
    <w:p w14:paraId="1A1739AB">
      <w:pPr>
        <w:rPr>
          <w:rFonts w:ascii="黑体" w:hAnsi="黑体" w:eastAsia="黑体"/>
          <w:color w:val="auto"/>
          <w:sz w:val="28"/>
          <w:szCs w:val="28"/>
          <w:highlight w:val="none"/>
        </w:rPr>
      </w:pPr>
      <w:bookmarkStart w:id="23" w:name="_Toc35393796"/>
      <w:bookmarkStart w:id="24" w:name="_Toc35393627"/>
      <w:bookmarkStart w:id="25" w:name="_Toc28359085"/>
      <w:bookmarkStart w:id="26" w:name="_Toc28359008"/>
      <w:r>
        <w:rPr>
          <w:rFonts w:hint="eastAsia" w:ascii="黑体" w:hAnsi="黑体" w:eastAsia="黑体"/>
          <w:color w:val="auto"/>
          <w:sz w:val="28"/>
          <w:szCs w:val="28"/>
          <w:highlight w:val="none"/>
        </w:rPr>
        <w:t>六、</w:t>
      </w:r>
      <w:bookmarkEnd w:id="23"/>
      <w:bookmarkEnd w:id="24"/>
      <w:bookmarkEnd w:id="25"/>
      <w:bookmarkEnd w:id="26"/>
      <w:r>
        <w:rPr>
          <w:rFonts w:hint="eastAsia" w:ascii="黑体" w:hAnsi="黑体" w:eastAsia="黑体"/>
          <w:color w:val="auto"/>
          <w:sz w:val="28"/>
          <w:szCs w:val="28"/>
          <w:highlight w:val="none"/>
        </w:rPr>
        <w:t>联系方式。</w:t>
      </w:r>
    </w:p>
    <w:p w14:paraId="5F06C871">
      <w:pPr>
        <w:spacing w:line="560" w:lineRule="exact"/>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1.招标人信息</w:t>
      </w:r>
    </w:p>
    <w:p w14:paraId="4A14A6A0">
      <w:pPr>
        <w:spacing w:line="560" w:lineRule="exact"/>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名  称：青岛航空股份有限公司</w:t>
      </w:r>
    </w:p>
    <w:p w14:paraId="532263F2">
      <w:pPr>
        <w:spacing w:line="560" w:lineRule="exact"/>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地  址：</w:t>
      </w:r>
      <w:r>
        <w:rPr>
          <w:rFonts w:ascii="仿宋" w:hAnsi="仿宋" w:eastAsia="仿宋" w:cs="宋体"/>
          <w:color w:val="auto"/>
          <w:kern w:val="0"/>
          <w:sz w:val="28"/>
          <w:szCs w:val="28"/>
          <w:highlight w:val="none"/>
        </w:rPr>
        <w:t>青岛市胶州市金航十二路八号青岛航空胶东机场办公楼</w:t>
      </w:r>
    </w:p>
    <w:p w14:paraId="3C428E1A">
      <w:pPr>
        <w:spacing w:line="560" w:lineRule="exact"/>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联系方式：</w:t>
      </w:r>
      <w:bookmarkStart w:id="27" w:name="_Toc28359009"/>
      <w:bookmarkStart w:id="28" w:name="_Toc28359086"/>
      <w:r>
        <w:rPr>
          <w:rFonts w:hint="eastAsia" w:ascii="仿宋" w:hAnsi="仿宋" w:eastAsia="仿宋" w:cs="宋体"/>
          <w:color w:val="auto"/>
          <w:kern w:val="0"/>
          <w:sz w:val="28"/>
          <w:szCs w:val="28"/>
          <w:highlight w:val="none"/>
        </w:rPr>
        <w:t>于腾浩18561913716</w:t>
      </w:r>
    </w:p>
    <w:bookmarkEnd w:id="27"/>
    <w:bookmarkEnd w:id="28"/>
    <w:p w14:paraId="39A8798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81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customStyle="1" w:styleId="6">
    <w:name w:val="details_p"/>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2024-12-03T04:38:22Z</dcterms:created>
  <dc:creator>86138</dc:creator>
  <cp:lastModifiedBy>86138</cp:lastModifiedBy>
  <dcterms:modified xsi:type="dcterms:W3CDTF">2024-12-03T04:39:02Z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CC51A9F67B35400391706B1730270DD4_12</vt:lpwstr>
  </property>
</Properties>
</file>